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172F" w14:textId="00020535" w:rsidR="000B6244" w:rsidRPr="007D4B1C" w:rsidRDefault="000D7262" w:rsidP="007D4B1C">
      <w:pPr>
        <w:pStyle w:val="Style10"/>
        <w:rPr>
          <w:sz w:val="42"/>
          <w:szCs w:val="42"/>
        </w:rPr>
      </w:pPr>
      <w:r w:rsidRPr="007D4B1C">
        <w:rPr>
          <w:sz w:val="42"/>
          <w:szCs w:val="42"/>
        </w:rPr>
        <w:t>2017 EACTS Guidelines on perioperative medication in adult cardiac surgery</w:t>
      </w:r>
    </w:p>
    <w:p w14:paraId="523E89DB" w14:textId="61217169" w:rsidR="006E5B7D" w:rsidRDefault="00FD25DE" w:rsidP="007D4B1C">
      <w:pPr>
        <w:spacing w:after="0"/>
        <w:rPr>
          <w:noProof/>
          <w:lang w:val="en"/>
        </w:rPr>
      </w:pPr>
      <w:r>
        <w:rPr>
          <w:noProof/>
          <w:lang w:val="en"/>
        </w:rPr>
        <w:drawing>
          <wp:inline distT="0" distB="0" distL="0" distR="0" wp14:anchorId="704E9DCB" wp14:editId="35B0F7DC">
            <wp:extent cx="9135745" cy="5215890"/>
            <wp:effectExtent l="0" t="0" r="825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745" cy="52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DA2B6" w14:textId="090F59AB" w:rsidR="00FD25DE" w:rsidRDefault="007D4B1C" w:rsidP="007D4B1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4B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E5B7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a</w:t>
      </w:r>
      <w:r w:rsidRPr="007D4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Includes atrial fibrillation, previous thromboembolic events, left ventricular dysfunction and older generation mechanical </w:t>
      </w:r>
      <w:proofErr w:type="gramStart"/>
      <w:r w:rsidRPr="007D4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AVR; </w:t>
      </w:r>
      <w:r w:rsidR="006E5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6E5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D25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6E5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6E5B7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b</w:t>
      </w:r>
      <w:r w:rsidRPr="007D4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stands for replacement or repair. </w:t>
      </w:r>
      <w:r w:rsidR="00661CC8">
        <w:rPr>
          <w:rFonts w:ascii="Times New Roman" w:eastAsia="Times New Roman" w:hAnsi="Times New Roman" w:cs="Times New Roman"/>
          <w:b/>
          <w:bCs/>
          <w:sz w:val="28"/>
          <w:szCs w:val="28"/>
        </w:rPr>
        <w:t>See next page for TAVR new recom.</w:t>
      </w:r>
    </w:p>
    <w:p w14:paraId="00EAB2B2" w14:textId="7DAFBF5F" w:rsidR="007D4B1C" w:rsidRPr="007D4B1C" w:rsidRDefault="007D4B1C" w:rsidP="007D4B1C">
      <w:pPr>
        <w:spacing w:after="0"/>
      </w:pPr>
      <w:r w:rsidRPr="007D4B1C">
        <w:rPr>
          <w:rFonts w:ascii="Times New Roman" w:eastAsia="Times New Roman" w:hAnsi="Times New Roman" w:cs="Times New Roman"/>
          <w:b/>
          <w:bCs/>
          <w:sz w:val="28"/>
          <w:szCs w:val="28"/>
        </w:rPr>
        <w:t>ASA: acetylsalicylic acid; AVR: aortic valve replacement; DAPT: dual antiplatelet therapy; INR: international normalized ratio; LMWH: low-molecular-weight heparin; MVR: mitral valve replacement; OAC: oral anticoagulant; SAPT: single antiplatelet therapy; TAVI: transcatheter aortic valve implantation; TVR: tricuspid valve replacement; UFH: unfractionated heparin; VKA: vitamin-K antagonists.</w:t>
      </w:r>
    </w:p>
    <w:p w14:paraId="74991095" w14:textId="33332ED8" w:rsidR="007D56E2" w:rsidRPr="007D56E2" w:rsidRDefault="007D56E2" w:rsidP="007D56E2">
      <w:pPr>
        <w:spacing w:before="100" w:beforeAutospacing="1" w:after="100" w:afterAutospacing="1" w:line="240" w:lineRule="auto"/>
        <w:outlineLvl w:val="1"/>
        <w:rPr>
          <w:rFonts w:asciiTheme="majorBidi" w:hAnsiTheme="majorBidi" w:cstheme="majorBidi" w:hint="cs"/>
          <w:b/>
          <w:bCs/>
          <w:color w:val="C45911" w:themeColor="accent2" w:themeShade="BF"/>
          <w:sz w:val="28"/>
          <w:szCs w:val="28"/>
          <w:rtl/>
          <w:lang w:bidi="ar-EG"/>
        </w:rPr>
      </w:pPr>
      <w:r w:rsidRPr="007D56E2">
        <w:rPr>
          <w:rFonts w:asciiTheme="majorBidi" w:hAnsiTheme="majorBidi" w:cstheme="majorBidi"/>
          <w:b/>
          <w:bCs/>
          <w:color w:val="C45911" w:themeColor="accent2" w:themeShade="BF"/>
          <w:sz w:val="28"/>
          <w:szCs w:val="28"/>
          <w:lang w:bidi="ar-EG"/>
        </w:rPr>
        <w:lastRenderedPageBreak/>
        <w:t>Antithrombotic therapy post-TAVI</w:t>
      </w:r>
      <w:r w:rsidR="007E5A0F">
        <w:rPr>
          <w:rFonts w:asciiTheme="majorBidi" w:hAnsiTheme="majorBidi" w:cstheme="majorBidi"/>
          <w:b/>
          <w:bCs/>
          <w:color w:val="C45911" w:themeColor="accent2" w:themeShade="BF"/>
          <w:sz w:val="28"/>
          <w:szCs w:val="28"/>
          <w:lang w:bidi="ar-EG"/>
        </w:rPr>
        <w:t xml:space="preserve">                                              </w:t>
      </w:r>
      <w:proofErr w:type="gramStart"/>
      <w:r w:rsidR="00DC722D" w:rsidRPr="00DC722D">
        <w:rPr>
          <w:rFonts w:ascii="Times New Roman" w:hAnsi="Times New Roman" w:cs="Times New Roman"/>
          <w:b/>
          <w:bCs/>
          <w:color w:val="0070C0"/>
          <w:sz w:val="28"/>
          <w:szCs w:val="28"/>
          <w:lang w:bidi="ar-EG"/>
        </w:rPr>
        <w:t>UpToDate</w:t>
      </w:r>
      <w:r w:rsidR="00DC722D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  <w:lang w:bidi="ar-EG"/>
        </w:rPr>
        <w:t xml:space="preserve"> </w:t>
      </w:r>
      <w:r w:rsidR="00DC722D">
        <w:rPr>
          <w:rFonts w:ascii="Times New Roman" w:hAnsi="Times New Roman" w:cs="Times New Roman"/>
          <w:b/>
          <w:bCs/>
          <w:color w:val="0070C0"/>
          <w:sz w:val="28"/>
          <w:szCs w:val="28"/>
          <w:lang w:bidi="ar-EG"/>
        </w:rPr>
        <w:t xml:space="preserve"> 2024</w:t>
      </w:r>
      <w:proofErr w:type="gramEnd"/>
      <w:r w:rsidR="00DC722D" w:rsidRPr="00DC722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lang w:bidi="ar-EG"/>
        </w:rPr>
        <w:t xml:space="preserve"> </w:t>
      </w:r>
      <w:r w:rsidR="00DC722D" w:rsidRPr="00DC722D">
        <w:rPr>
          <w:rFonts w:ascii="Wingdings 2" w:hAnsi="Wingdings 2" w:cs="Times New Roman"/>
          <w:b/>
          <w:bCs/>
          <w:color w:val="FF0000"/>
          <w:sz w:val="28"/>
          <w:szCs w:val="28"/>
          <w:lang w:bidi="ar-EG"/>
        </w:rPr>
        <w:sym w:font="Wingdings" w:char="F03A"/>
      </w:r>
      <w:r w:rsidR="00DC722D">
        <w:rPr>
          <w:rFonts w:ascii="Wingdings 2" w:hAnsi="Wingdings 2" w:cs="Times New Roman"/>
          <w:b/>
          <w:bCs/>
          <w:color w:val="FF0000"/>
          <w:sz w:val="28"/>
          <w:szCs w:val="28"/>
          <w:lang w:bidi="ar-EG"/>
        </w:rPr>
        <w:t xml:space="preserve"> </w:t>
      </w:r>
    </w:p>
    <w:p w14:paraId="2F1E18CB" w14:textId="708B75F8" w:rsidR="007D56E2" w:rsidRPr="007D56E2" w:rsidRDefault="007D56E2" w:rsidP="00800463">
      <w:pPr>
        <w:spacing w:before="100" w:beforeAutospacing="1" w:after="100" w:afterAutospacing="1" w:line="240" w:lineRule="auto"/>
        <w:jc w:val="center"/>
        <w:outlineLvl w:val="1"/>
        <w:rPr>
          <w:rFonts w:asciiTheme="majorBidi" w:hAnsiTheme="majorBidi" w:cstheme="majorBidi"/>
          <w:sz w:val="28"/>
          <w:szCs w:val="28"/>
          <w:lang w:bidi="ar-EG"/>
        </w:rPr>
      </w:pPr>
      <w:r w:rsidRPr="007D56E2">
        <w:rPr>
          <w:rFonts w:asciiTheme="majorBidi" w:hAnsiTheme="majorBidi" w:cstheme="majorBidi"/>
          <w:sz w:val="28"/>
          <w:szCs w:val="28"/>
          <w:lang w:bidi="ar-EG"/>
        </w:rPr>
        <w:drawing>
          <wp:inline distT="0" distB="0" distL="0" distR="0" wp14:anchorId="77C8FCD9" wp14:editId="66AF79FB">
            <wp:extent cx="5962650" cy="3110479"/>
            <wp:effectExtent l="0" t="0" r="0" b="0"/>
            <wp:docPr id="893913139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390" cy="312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40153" w14:textId="77777777" w:rsidR="007D56E2" w:rsidRPr="007D56E2" w:rsidRDefault="007D56E2" w:rsidP="007D56E2">
      <w:pPr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sz w:val="24"/>
          <w:szCs w:val="24"/>
          <w:lang w:bidi="ar-EG"/>
        </w:rPr>
      </w:pPr>
      <w:r w:rsidRPr="007D56E2">
        <w:rPr>
          <w:rFonts w:asciiTheme="majorBidi" w:hAnsiTheme="majorBidi" w:cstheme="majorBidi"/>
          <w:sz w:val="24"/>
          <w:szCs w:val="24"/>
          <w:lang w:bidi="ar-EG"/>
        </w:rPr>
        <w:t>TAVI: transcatheter aortic valve implantation; DAPT: dual antiplatelet therapy; SAPT: single antiplatelet therapy; VKA: vitamin K antagonist; DOAC: direct oral anticoagulant.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>* Therapeutic anticoagulation does not include low-dose heparin therapy for prophylaxis against venous thromboembolic disease. The most common concurrent indication for therapeutic anticoagulation post-TAVI is atrial fibrillation with risk factors favoring anticoagulation (eg, CHA</w:t>
      </w:r>
      <w:r w:rsidRPr="007D56E2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t>DS</w:t>
      </w:r>
      <w:r w:rsidRPr="007D56E2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t>-VASc score ≥2). The choice and duration of anticoagulant therapy is based upon the indication for anticoagulation.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>¶ Common indications for DAPT include recent coronary stent implantation and recent acute coronary syndrome.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 xml:space="preserve">Δ </w:t>
      </w:r>
      <w:proofErr w:type="gramStart"/>
      <w:r w:rsidRPr="007D56E2">
        <w:rPr>
          <w:rFonts w:asciiTheme="majorBidi" w:hAnsiTheme="majorBidi" w:cstheme="majorBidi"/>
          <w:sz w:val="24"/>
          <w:szCs w:val="24"/>
          <w:lang w:bidi="ar-EG"/>
        </w:rPr>
        <w:t>The</w:t>
      </w:r>
      <w:proofErr w:type="gramEnd"/>
      <w:r w:rsidRPr="007D56E2">
        <w:rPr>
          <w:rFonts w:asciiTheme="majorBidi" w:hAnsiTheme="majorBidi" w:cstheme="majorBidi"/>
          <w:sz w:val="24"/>
          <w:szCs w:val="24"/>
          <w:lang w:bidi="ar-EG"/>
        </w:rPr>
        <w:t xml:space="preserve"> choice and duration of antiplatelet and anticoagulant therapy are based upon the indications for these agents. Long-term triple antithrombotic therapy (dual antiplatelet therapy plus anticoagulation) is generally avoided given evidence suggesting worse outcomes compared with dual antithrombotic therapy.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>◊ When a patient no longer requires anticoagulation or DAPT, then SAPT is used.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>§ Antiplatelet therapy is not required in this setting. During the first 3 months post-TAVI, VKA is the preferred anticoagulant. After the first 3 months, the choice of anticoagulant (VKA or DOAC) is based upon the indication for anticoagulation and other clinical factors.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>¥ DAPT consists of aspirin 75 to 100 mg daily plus clopidogrel 75 mg daily. No loading dose is required for aspirin therapy. Clopidogrel is initiated as a 300 mg loading dose followed by a 75 mg daily maintenance dose.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>‡ In this setting, SAPT is generally aspirin 75 to 100 mg daily. If aspirin is contraindicated due to hypersensitivity, clopidogrel is an alternative.</w:t>
      </w:r>
      <w:r w:rsidRPr="007D56E2">
        <w:rPr>
          <w:rFonts w:asciiTheme="majorBidi" w:hAnsiTheme="majorBidi" w:cstheme="majorBidi"/>
          <w:sz w:val="24"/>
          <w:szCs w:val="24"/>
          <w:lang w:bidi="ar-EG"/>
        </w:rPr>
        <w:br/>
        <w:t xml:space="preserve">† A reasonable alternative is to use DAPT in the intermediate term (during the initial 3 to 6 months depending upon valve type) followed by lifelong SAPT, which is the approach used in the pivotal TAVI trials. If intermediate-term DAPT is chosen, it is continued for the first 6 months (for the SAPIEN valve) or for the first 3 months (for the </w:t>
      </w:r>
      <w:proofErr w:type="spellStart"/>
      <w:r w:rsidRPr="007D56E2">
        <w:rPr>
          <w:rFonts w:asciiTheme="majorBidi" w:hAnsiTheme="majorBidi" w:cstheme="majorBidi"/>
          <w:sz w:val="24"/>
          <w:szCs w:val="24"/>
          <w:lang w:bidi="ar-EG"/>
        </w:rPr>
        <w:t>Evolut</w:t>
      </w:r>
      <w:proofErr w:type="spellEnd"/>
      <w:r w:rsidRPr="007D56E2">
        <w:rPr>
          <w:rFonts w:asciiTheme="majorBidi" w:hAnsiTheme="majorBidi" w:cstheme="majorBidi"/>
          <w:sz w:val="24"/>
          <w:szCs w:val="24"/>
          <w:lang w:bidi="ar-EG"/>
        </w:rPr>
        <w:t xml:space="preserve"> R/PRO/PRO-PLUS valve).</w:t>
      </w:r>
    </w:p>
    <w:p w14:paraId="1A5258FA" w14:textId="77777777" w:rsidR="007D4B1C" w:rsidRDefault="007D4B1C" w:rsidP="00527C60">
      <w:pPr>
        <w:spacing w:after="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C2032" wp14:editId="0BDC12E8">
                <wp:simplePos x="0" y="0"/>
                <wp:positionH relativeFrom="column">
                  <wp:posOffset>-100914</wp:posOffset>
                </wp:positionH>
                <wp:positionV relativeFrom="paragraph">
                  <wp:posOffset>66898</wp:posOffset>
                </wp:positionV>
                <wp:extent cx="6301946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94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0E47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95pt,5.25pt" to="488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" strokecolor="#ed7d31 [3205]" strokeweight="1.5pt">
                <v:stroke joinstyle="miter"/>
              </v:line>
            </w:pict>
          </mc:Fallback>
        </mc:AlternateContent>
      </w:r>
      <w:r w:rsidRPr="00527C60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E019C" wp14:editId="3E208168">
                <wp:simplePos x="0" y="0"/>
                <wp:positionH relativeFrom="margin">
                  <wp:posOffset>63500</wp:posOffset>
                </wp:positionH>
                <wp:positionV relativeFrom="paragraph">
                  <wp:posOffset>107950</wp:posOffset>
                </wp:positionV>
                <wp:extent cx="6267450" cy="635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2AE03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pt,8.5pt" to="498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" strokecolor="#ffc000 [3207]" strokeweight="1.5pt">
                <v:stroke joinstyle="miter"/>
                <w10:wrap anchorx="margin"/>
              </v:line>
            </w:pict>
          </mc:Fallback>
        </mc:AlternateContent>
      </w:r>
    </w:p>
    <w:p w14:paraId="09A90045" w14:textId="77777777" w:rsidR="007D4B1C" w:rsidRDefault="007D4B1C" w:rsidP="000B62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871A767" w14:textId="21F9DD3C" w:rsidR="000B6244" w:rsidRPr="000C381A" w:rsidRDefault="000B6244" w:rsidP="000C381A">
      <w:pPr>
        <w:pStyle w:val="Style4"/>
        <w:rPr>
          <w:sz w:val="48"/>
          <w:szCs w:val="48"/>
        </w:rPr>
      </w:pPr>
      <w:r w:rsidRPr="000C381A">
        <w:rPr>
          <w:sz w:val="48"/>
          <w:szCs w:val="48"/>
        </w:rPr>
        <w:t>Patients with concomitant atrial fibrillation</w:t>
      </w:r>
    </w:p>
    <w:p w14:paraId="4D182398" w14:textId="77777777" w:rsidR="000C381A" w:rsidRDefault="000B6244" w:rsidP="000B6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6"/>
          <w:szCs w:val="46"/>
          <w:rtl/>
        </w:rPr>
      </w:pP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Valvular atrial fibrillation is always considered a high-risk factor for arterial embolization. The occurrence of this arrhythmia in patients with a </w:t>
      </w:r>
      <w:r w:rsidRPr="000C381A">
        <w:rPr>
          <w:rFonts w:ascii="Times New Roman" w:eastAsia="Times New Roman" w:hAnsi="Times New Roman" w:cs="Times New Roman"/>
          <w:color w:val="C00000"/>
          <w:sz w:val="46"/>
          <w:szCs w:val="46"/>
        </w:rPr>
        <w:t xml:space="preserve">bioprosthetic mitral valve </w:t>
      </w: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is a Class I indication for chronic VKA use. </w:t>
      </w:r>
    </w:p>
    <w:p w14:paraId="3909F99A" w14:textId="77777777" w:rsidR="000C381A" w:rsidRDefault="000B6244" w:rsidP="000B6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6"/>
          <w:szCs w:val="46"/>
          <w:rtl/>
        </w:rPr>
      </w:pP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In patients with a </w:t>
      </w:r>
      <w:r w:rsidRPr="000C381A">
        <w:rPr>
          <w:rFonts w:ascii="Times New Roman" w:eastAsia="Times New Roman" w:hAnsi="Times New Roman" w:cs="Times New Roman"/>
          <w:color w:val="FF0000"/>
          <w:sz w:val="46"/>
          <w:szCs w:val="46"/>
        </w:rPr>
        <w:t xml:space="preserve">mechanical heart valve </w:t>
      </w: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and the presence of an </w:t>
      </w:r>
      <w:r w:rsidRPr="000C381A">
        <w:rPr>
          <w:rFonts w:ascii="Times New Roman" w:eastAsia="Times New Roman" w:hAnsi="Times New Roman" w:cs="Times New Roman"/>
          <w:i/>
          <w:iCs/>
          <w:sz w:val="46"/>
          <w:szCs w:val="46"/>
        </w:rPr>
        <w:t>additional risk factor</w:t>
      </w: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, </w:t>
      </w:r>
      <w:r w:rsidRPr="000C381A">
        <w:rPr>
          <w:rFonts w:ascii="Times New Roman" w:eastAsia="Times New Roman" w:hAnsi="Times New Roman" w:cs="Times New Roman"/>
          <w:color w:val="FF0000"/>
          <w:sz w:val="46"/>
          <w:szCs w:val="46"/>
        </w:rPr>
        <w:t xml:space="preserve">adding aspirin </w:t>
      </w: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seems to confer a great clinical benefit. This strategy is supported by </w:t>
      </w:r>
      <w:proofErr w:type="gramStart"/>
      <w:r w:rsidRPr="000C381A">
        <w:rPr>
          <w:rFonts w:ascii="Times New Roman" w:eastAsia="Times New Roman" w:hAnsi="Times New Roman" w:cs="Times New Roman"/>
          <w:sz w:val="46"/>
          <w:szCs w:val="46"/>
        </w:rPr>
        <w:t>all of</w:t>
      </w:r>
      <w:proofErr w:type="gramEnd"/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 the major society guidelines and is based on randomized clinical data. </w:t>
      </w:r>
    </w:p>
    <w:p w14:paraId="5B02CBF1" w14:textId="2266A26F" w:rsidR="000B6244" w:rsidRPr="00500B51" w:rsidRDefault="000B6244" w:rsidP="00500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6"/>
          <w:szCs w:val="46"/>
        </w:rPr>
      </w:pPr>
      <w:r w:rsidRPr="000C381A">
        <w:rPr>
          <w:rFonts w:ascii="Times New Roman" w:eastAsia="Times New Roman" w:hAnsi="Times New Roman" w:cs="Times New Roman"/>
          <w:sz w:val="46"/>
          <w:szCs w:val="46"/>
        </w:rPr>
        <w:t xml:space="preserve">The addition of aspirin also seems to be important for patients with </w:t>
      </w:r>
      <w:r w:rsidRPr="000C381A">
        <w:rPr>
          <w:rFonts w:ascii="Times New Roman" w:eastAsia="Times New Roman" w:hAnsi="Times New Roman" w:cs="Times New Roman"/>
          <w:color w:val="C00000"/>
          <w:sz w:val="46"/>
          <w:szCs w:val="46"/>
        </w:rPr>
        <w:t xml:space="preserve">bioprosthetic valves in the mitral position </w:t>
      </w:r>
      <w:r w:rsidRPr="000C381A">
        <w:rPr>
          <w:rFonts w:ascii="Times New Roman" w:eastAsia="Times New Roman" w:hAnsi="Times New Roman" w:cs="Times New Roman"/>
          <w:sz w:val="46"/>
          <w:szCs w:val="46"/>
        </w:rPr>
        <w:t>who develop atrial fibrillation. This strategy has been shown to reduce adverse clinical outcomes including stroke and death in a randomized, placebo-controlled clinical trial.</w:t>
      </w:r>
    </w:p>
    <w:sectPr w:rsidR="000B6244" w:rsidRPr="00500B51" w:rsidSect="002B14C8">
      <w:pgSz w:w="15840" w:h="12240" w:orient="landscape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8pt;height:163.5pt" o:bullet="t">
        <v:imagedata r:id="rId1" o:title="apple[1]"/>
      </v:shape>
    </w:pict>
  </w:numPicBullet>
  <w:abstractNum w:abstractNumId="0" w15:restartNumberingAfterBreak="0">
    <w:nsid w:val="05D611E0"/>
    <w:multiLevelType w:val="multilevel"/>
    <w:tmpl w:val="DEBA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05989"/>
    <w:multiLevelType w:val="hybridMultilevel"/>
    <w:tmpl w:val="5D04ED72"/>
    <w:lvl w:ilvl="0" w:tplc="969A0834">
      <w:start w:val="1"/>
      <w:numFmt w:val="bullet"/>
      <w:lvlText w:val="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406C"/>
    <w:multiLevelType w:val="hybridMultilevel"/>
    <w:tmpl w:val="50264BC6"/>
    <w:lvl w:ilvl="0" w:tplc="80EA0BDC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A10C24"/>
    <w:multiLevelType w:val="multilevel"/>
    <w:tmpl w:val="C69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C7A2F"/>
    <w:multiLevelType w:val="multilevel"/>
    <w:tmpl w:val="60F0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97FC5"/>
    <w:multiLevelType w:val="multilevel"/>
    <w:tmpl w:val="DF1E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EA24BB"/>
    <w:multiLevelType w:val="multilevel"/>
    <w:tmpl w:val="A742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A0725"/>
    <w:multiLevelType w:val="multilevel"/>
    <w:tmpl w:val="6B04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91280"/>
    <w:multiLevelType w:val="multilevel"/>
    <w:tmpl w:val="F70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01CBE"/>
    <w:multiLevelType w:val="hybridMultilevel"/>
    <w:tmpl w:val="06A8C830"/>
    <w:lvl w:ilvl="0" w:tplc="F942DBEE">
      <w:start w:val="1"/>
      <w:numFmt w:val="bullet"/>
      <w:lvlText w:val="P"/>
      <w:lvlJc w:val="left"/>
      <w:pPr>
        <w:ind w:left="2160" w:hanging="360"/>
      </w:pPr>
      <w:rPr>
        <w:rFonts w:ascii="Wingdings" w:hAnsi="Wingdings" w:hint="default"/>
      </w:rPr>
    </w:lvl>
    <w:lvl w:ilvl="1" w:tplc="5122D7F8">
      <w:start w:val="1"/>
      <w:numFmt w:val="bullet"/>
      <w:lvlText w:val="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9749A"/>
    <w:multiLevelType w:val="hybridMultilevel"/>
    <w:tmpl w:val="1498876A"/>
    <w:lvl w:ilvl="0" w:tplc="6728091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006E2"/>
    <w:multiLevelType w:val="hybridMultilevel"/>
    <w:tmpl w:val="2474F88E"/>
    <w:lvl w:ilvl="0" w:tplc="44561F1E">
      <w:start w:val="1"/>
      <w:numFmt w:val="bullet"/>
      <w:lvlText w:val="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752C1"/>
    <w:multiLevelType w:val="multilevel"/>
    <w:tmpl w:val="07B0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07B32"/>
    <w:multiLevelType w:val="multilevel"/>
    <w:tmpl w:val="0D96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D73F4"/>
    <w:multiLevelType w:val="multilevel"/>
    <w:tmpl w:val="72A0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664555">
    <w:abstractNumId w:val="4"/>
  </w:num>
  <w:num w:numId="2" w16cid:durableId="125973579">
    <w:abstractNumId w:val="7"/>
  </w:num>
  <w:num w:numId="3" w16cid:durableId="1054541216">
    <w:abstractNumId w:val="12"/>
  </w:num>
  <w:num w:numId="4" w16cid:durableId="1644003252">
    <w:abstractNumId w:val="13"/>
  </w:num>
  <w:num w:numId="5" w16cid:durableId="86922426">
    <w:abstractNumId w:val="3"/>
  </w:num>
  <w:num w:numId="6" w16cid:durableId="51277766">
    <w:abstractNumId w:val="8"/>
  </w:num>
  <w:num w:numId="7" w16cid:durableId="589386431">
    <w:abstractNumId w:val="5"/>
  </w:num>
  <w:num w:numId="8" w16cid:durableId="5792376">
    <w:abstractNumId w:val="0"/>
  </w:num>
  <w:num w:numId="9" w16cid:durableId="237525410">
    <w:abstractNumId w:val="14"/>
  </w:num>
  <w:num w:numId="10" w16cid:durableId="2007055129">
    <w:abstractNumId w:val="6"/>
  </w:num>
  <w:num w:numId="11" w16cid:durableId="576748210">
    <w:abstractNumId w:val="11"/>
  </w:num>
  <w:num w:numId="12" w16cid:durableId="1246112899">
    <w:abstractNumId w:val="1"/>
  </w:num>
  <w:num w:numId="13" w16cid:durableId="1504662568">
    <w:abstractNumId w:val="9"/>
  </w:num>
  <w:num w:numId="14" w16cid:durableId="32266103">
    <w:abstractNumId w:val="10"/>
  </w:num>
  <w:num w:numId="15" w16cid:durableId="53577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44"/>
    <w:rsid w:val="00014ADE"/>
    <w:rsid w:val="00057CB8"/>
    <w:rsid w:val="00072F8C"/>
    <w:rsid w:val="000867DD"/>
    <w:rsid w:val="000A6765"/>
    <w:rsid w:val="000B6244"/>
    <w:rsid w:val="000C381A"/>
    <w:rsid w:val="000D7262"/>
    <w:rsid w:val="00101B3D"/>
    <w:rsid w:val="0011021F"/>
    <w:rsid w:val="001C32A5"/>
    <w:rsid w:val="001D1DD2"/>
    <w:rsid w:val="002B14C8"/>
    <w:rsid w:val="002B2203"/>
    <w:rsid w:val="002B7E5E"/>
    <w:rsid w:val="002E04C1"/>
    <w:rsid w:val="003B525A"/>
    <w:rsid w:val="003F2904"/>
    <w:rsid w:val="0040466D"/>
    <w:rsid w:val="00480D57"/>
    <w:rsid w:val="00500B51"/>
    <w:rsid w:val="00642ABA"/>
    <w:rsid w:val="00661CC8"/>
    <w:rsid w:val="006C6390"/>
    <w:rsid w:val="006E5B7D"/>
    <w:rsid w:val="00703C52"/>
    <w:rsid w:val="00712E71"/>
    <w:rsid w:val="0074647E"/>
    <w:rsid w:val="00766F17"/>
    <w:rsid w:val="00775D6D"/>
    <w:rsid w:val="00777B33"/>
    <w:rsid w:val="00780835"/>
    <w:rsid w:val="007D4B1C"/>
    <w:rsid w:val="007D56E2"/>
    <w:rsid w:val="007E5A0F"/>
    <w:rsid w:val="00800463"/>
    <w:rsid w:val="0090453D"/>
    <w:rsid w:val="00952A66"/>
    <w:rsid w:val="009E13D4"/>
    <w:rsid w:val="00A4020F"/>
    <w:rsid w:val="00A52CD8"/>
    <w:rsid w:val="00A71C11"/>
    <w:rsid w:val="00AD0C0D"/>
    <w:rsid w:val="00AF6CAD"/>
    <w:rsid w:val="00B36F3D"/>
    <w:rsid w:val="00B623EE"/>
    <w:rsid w:val="00BD2706"/>
    <w:rsid w:val="00C11E0B"/>
    <w:rsid w:val="00CA033F"/>
    <w:rsid w:val="00CA42E5"/>
    <w:rsid w:val="00CB6568"/>
    <w:rsid w:val="00CD5743"/>
    <w:rsid w:val="00D723FA"/>
    <w:rsid w:val="00DB4E77"/>
    <w:rsid w:val="00DC722D"/>
    <w:rsid w:val="00DD5F09"/>
    <w:rsid w:val="00E0008F"/>
    <w:rsid w:val="00F03E1D"/>
    <w:rsid w:val="00F9724E"/>
    <w:rsid w:val="00F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8E2D6DC"/>
  <w15:chartTrackingRefBased/>
  <w15:docId w15:val="{6BB84BF7-A747-4F44-9F31-EAEEE516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568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0B6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F2904"/>
    <w:rPr>
      <w:color w:val="0563C1"/>
      <w:u w:val="single"/>
    </w:rPr>
  </w:style>
  <w:style w:type="paragraph" w:customStyle="1" w:styleId="Style1">
    <w:name w:val="Style1"/>
    <w:basedOn w:val="Normal"/>
    <w:link w:val="Style1Char"/>
    <w:rsid w:val="003F2904"/>
    <w:rPr>
      <w:rFonts w:ascii="Times New Roman" w:hAnsi="Times New Roman" w:cs="Times New Roman"/>
      <w:b/>
      <w:vanish/>
      <w:color w:val="FFC000"/>
      <w:sz w:val="72"/>
      <w:szCs w:val="72"/>
      <w:lang w:val="en"/>
    </w:rPr>
  </w:style>
  <w:style w:type="paragraph" w:customStyle="1" w:styleId="Style2">
    <w:name w:val="Style2"/>
    <w:basedOn w:val="Normal"/>
    <w:link w:val="Style2Char"/>
    <w:qFormat/>
    <w:rsid w:val="000867DD"/>
    <w:rPr>
      <w:rFonts w:ascii="Times New Roman" w:hAnsi="Times New Roman" w:cs="Times New Roman"/>
      <w:b/>
      <w:color w:val="FFC000"/>
      <w:sz w:val="38"/>
      <w:szCs w:val="38"/>
      <w:lang w:val="en"/>
    </w:rPr>
  </w:style>
  <w:style w:type="character" w:customStyle="1" w:styleId="Style1Char">
    <w:name w:val="Style1 Char"/>
    <w:link w:val="Style1"/>
    <w:rsid w:val="003F2904"/>
    <w:rPr>
      <w:rFonts w:ascii="Times New Roman" w:hAnsi="Times New Roman" w:cs="Times New Roman"/>
      <w:b/>
      <w:vanish/>
      <w:color w:val="FFC000"/>
      <w:sz w:val="72"/>
      <w:szCs w:val="72"/>
      <w:lang w:val="en"/>
    </w:rPr>
  </w:style>
  <w:style w:type="paragraph" w:customStyle="1" w:styleId="Style3">
    <w:name w:val="Style3"/>
    <w:basedOn w:val="Style2"/>
    <w:link w:val="Style3Char"/>
    <w:qFormat/>
    <w:rsid w:val="000867DD"/>
    <w:rPr>
      <w:sz w:val="72"/>
      <w:szCs w:val="72"/>
    </w:rPr>
  </w:style>
  <w:style w:type="character" w:customStyle="1" w:styleId="Style2Char">
    <w:name w:val="Style2 Char"/>
    <w:link w:val="Style2"/>
    <w:rsid w:val="000867DD"/>
    <w:rPr>
      <w:rFonts w:ascii="Times New Roman" w:hAnsi="Times New Roman" w:cs="Times New Roman"/>
      <w:b/>
      <w:color w:val="FFC000"/>
      <w:sz w:val="38"/>
      <w:szCs w:val="38"/>
      <w:lang w:val="en"/>
    </w:rPr>
  </w:style>
  <w:style w:type="paragraph" w:customStyle="1" w:styleId="Style4">
    <w:name w:val="Style4"/>
    <w:basedOn w:val="Normal"/>
    <w:link w:val="Style4Char"/>
    <w:qFormat/>
    <w:rsid w:val="00703C52"/>
    <w:rPr>
      <w:rFonts w:ascii="Times New Roman" w:hAnsi="Times New Roman" w:cs="Times New Roman"/>
      <w:b/>
      <w:bCs/>
      <w:color w:val="2F5496"/>
      <w:sz w:val="36"/>
      <w:szCs w:val="36"/>
      <w:u w:val="single"/>
      <w:lang w:val="en"/>
    </w:rPr>
  </w:style>
  <w:style w:type="character" w:customStyle="1" w:styleId="Style3Char">
    <w:name w:val="Style3 Char"/>
    <w:link w:val="Style3"/>
    <w:rsid w:val="000867DD"/>
    <w:rPr>
      <w:rFonts w:ascii="Times New Roman" w:hAnsi="Times New Roman" w:cs="Times New Roman"/>
      <w:b/>
      <w:color w:val="FFC000"/>
      <w:sz w:val="72"/>
      <w:szCs w:val="72"/>
      <w:lang w:val="en"/>
    </w:rPr>
  </w:style>
  <w:style w:type="character" w:customStyle="1" w:styleId="Style4Char">
    <w:name w:val="Style4 Char"/>
    <w:link w:val="Style4"/>
    <w:rsid w:val="00703C52"/>
    <w:rPr>
      <w:rFonts w:ascii="Times New Roman" w:hAnsi="Times New Roman" w:cs="Times New Roman"/>
      <w:b/>
      <w:bCs/>
      <w:color w:val="2F5496"/>
      <w:sz w:val="36"/>
      <w:szCs w:val="36"/>
      <w:u w:val="single"/>
      <w:lang w:val="en"/>
    </w:rPr>
  </w:style>
  <w:style w:type="character" w:customStyle="1" w:styleId="NormalWebChar">
    <w:name w:val="Normal (Web) Char"/>
    <w:link w:val="NormalWeb"/>
    <w:uiPriority w:val="99"/>
    <w:semiHidden/>
    <w:locked/>
    <w:rsid w:val="006C639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6C6390"/>
    <w:rPr>
      <w:rFonts w:ascii="Times New Roman" w:hAnsi="Times New Roman" w:cs="Times New Roman"/>
      <w:sz w:val="24"/>
      <w:szCs w:val="24"/>
    </w:rPr>
  </w:style>
  <w:style w:type="character" w:customStyle="1" w:styleId="Style5Char">
    <w:name w:val="Style5 Char"/>
    <w:link w:val="Style5"/>
    <w:semiHidden/>
    <w:locked/>
    <w:rsid w:val="006C6390"/>
    <w:rPr>
      <w:rFonts w:ascii="Arial" w:eastAsia="Times New Roman" w:hAnsi="Arial" w:cs="Arial"/>
      <w:b/>
      <w:bCs/>
      <w:color w:val="FF0000"/>
      <w:sz w:val="32"/>
      <w:szCs w:val="32"/>
    </w:rPr>
  </w:style>
  <w:style w:type="paragraph" w:customStyle="1" w:styleId="Style5">
    <w:name w:val="Style5"/>
    <w:basedOn w:val="NormalWeb"/>
    <w:link w:val="Style5Char"/>
    <w:semiHidden/>
    <w:qFormat/>
    <w:rsid w:val="006C6390"/>
    <w:rPr>
      <w:rFonts w:ascii="Arial" w:eastAsia="Times New Roman" w:hAnsi="Arial" w:cs="Arial"/>
      <w:b/>
      <w:bCs/>
      <w:color w:val="FF0000"/>
      <w:sz w:val="32"/>
      <w:szCs w:val="32"/>
    </w:rPr>
  </w:style>
  <w:style w:type="paragraph" w:customStyle="1" w:styleId="Style6">
    <w:name w:val="Style6"/>
    <w:basedOn w:val="NormalWeb"/>
    <w:link w:val="Style6Char"/>
    <w:qFormat/>
    <w:rsid w:val="006C6390"/>
    <w:rPr>
      <w:color w:val="FF0000"/>
      <w:sz w:val="28"/>
    </w:rPr>
  </w:style>
  <w:style w:type="character" w:customStyle="1" w:styleId="Style6Char">
    <w:name w:val="Style6 Char"/>
    <w:link w:val="Style6"/>
    <w:rsid w:val="006C6390"/>
    <w:rPr>
      <w:rFonts w:ascii="Times New Roman" w:hAnsi="Times New Roman" w:cs="Times New Roman"/>
      <w:color w:val="FF0000"/>
      <w:sz w:val="28"/>
      <w:szCs w:val="24"/>
    </w:rPr>
  </w:style>
  <w:style w:type="paragraph" w:customStyle="1" w:styleId="Normal0">
    <w:name w:val="[Normal]"/>
    <w:rsid w:val="00CB656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7">
    <w:name w:val="Style7"/>
    <w:basedOn w:val="Normal"/>
    <w:link w:val="Style7Char"/>
    <w:qFormat/>
    <w:rsid w:val="00952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538135"/>
      <w:sz w:val="28"/>
      <w:szCs w:val="28"/>
    </w:rPr>
  </w:style>
  <w:style w:type="character" w:customStyle="1" w:styleId="Style7Char">
    <w:name w:val="Style7 Char"/>
    <w:link w:val="Style7"/>
    <w:rsid w:val="00952A66"/>
    <w:rPr>
      <w:rFonts w:ascii="Times New Roman" w:hAnsi="Times New Roman" w:cs="Times New Roman"/>
      <w:b/>
      <w:bCs/>
      <w:color w:val="538135"/>
      <w:sz w:val="28"/>
      <w:szCs w:val="28"/>
    </w:rPr>
  </w:style>
  <w:style w:type="paragraph" w:customStyle="1" w:styleId="Style8">
    <w:name w:val="Style8"/>
    <w:basedOn w:val="Style6"/>
    <w:link w:val="Style8Char"/>
    <w:qFormat/>
    <w:rsid w:val="00F9724E"/>
    <w:rPr>
      <w:sz w:val="34"/>
      <w:szCs w:val="30"/>
    </w:rPr>
  </w:style>
  <w:style w:type="character" w:customStyle="1" w:styleId="Style8Char">
    <w:name w:val="Style8 Char"/>
    <w:link w:val="Style8"/>
    <w:rsid w:val="00F9724E"/>
    <w:rPr>
      <w:rFonts w:ascii="Times New Roman" w:hAnsi="Times New Roman" w:cs="Times New Roman"/>
      <w:color w:val="FF0000"/>
      <w:sz w:val="34"/>
      <w:szCs w:val="30"/>
    </w:rPr>
  </w:style>
  <w:style w:type="paragraph" w:styleId="NoSpacing">
    <w:name w:val="No Spacing"/>
    <w:link w:val="NoSpacingChar"/>
    <w:uiPriority w:val="1"/>
    <w:qFormat/>
    <w:rsid w:val="00101B3D"/>
    <w:rPr>
      <w:sz w:val="22"/>
      <w:szCs w:val="22"/>
    </w:rPr>
  </w:style>
  <w:style w:type="paragraph" w:customStyle="1" w:styleId="Style9">
    <w:name w:val="Style9"/>
    <w:basedOn w:val="NoSpacing"/>
    <w:link w:val="Style9Char"/>
    <w:qFormat/>
    <w:rsid w:val="00101B3D"/>
    <w:rPr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101B3D"/>
    <w:rPr>
      <w:sz w:val="22"/>
      <w:szCs w:val="22"/>
    </w:rPr>
  </w:style>
  <w:style w:type="character" w:customStyle="1" w:styleId="Style9Char">
    <w:name w:val="Style9 Char"/>
    <w:basedOn w:val="NoSpacingChar"/>
    <w:link w:val="Style9"/>
    <w:rsid w:val="00101B3D"/>
    <w:rPr>
      <w:sz w:val="28"/>
      <w:szCs w:val="28"/>
    </w:rPr>
  </w:style>
  <w:style w:type="paragraph" w:customStyle="1" w:styleId="Style10">
    <w:name w:val="Style10"/>
    <w:basedOn w:val="Style3"/>
    <w:link w:val="Style10Char"/>
    <w:qFormat/>
    <w:rsid w:val="00A52CD8"/>
    <w:rPr>
      <w:color w:val="FFC000" w:themeColor="accent4"/>
      <w14:textOutline w14:w="0" w14:cap="flat" w14:cmpd="sng" w14:algn="ctr">
        <w14:noFill/>
        <w14:prstDash w14:val="solid"/>
        <w14:round/>
      </w14:textOutline>
      <w14:props3d w14:extrusionH="57150" w14:contourW="0" w14:prstMaterial="softEdge">
        <w14:bevelT w14:w="25400" w14:h="38100" w14:prst="circle"/>
      </w14:props3d>
    </w:rPr>
  </w:style>
  <w:style w:type="character" w:customStyle="1" w:styleId="Style10Char">
    <w:name w:val="Style10 Char"/>
    <w:basedOn w:val="Style3Char"/>
    <w:link w:val="Style10"/>
    <w:rsid w:val="00A52CD8"/>
    <w:rPr>
      <w:rFonts w:ascii="Times New Roman" w:hAnsi="Times New Roman" w:cs="Times New Roman"/>
      <w:b/>
      <w:color w:val="FFC000" w:themeColor="accent4"/>
      <w:sz w:val="72"/>
      <w:szCs w:val="72"/>
      <w:lang w:val="en"/>
      <w14:textOutline w14:w="0" w14:cap="flat" w14:cmpd="sng" w14:algn="ctr">
        <w14:noFill/>
        <w14:prstDash w14:val="solid"/>
        <w14:round/>
      </w14:textOutline>
      <w14:props3d w14:extrusionH="57150" w14:contourW="0" w14:prstMaterial="softEdge">
        <w14:bevelT w14:w="25400" w14:h="38100" w14:prst="circle"/>
      </w14:props3d>
    </w:rPr>
  </w:style>
  <w:style w:type="character" w:styleId="UnresolvedMention">
    <w:name w:val="Unresolved Mention"/>
    <w:basedOn w:val="DefaultParagraphFont"/>
    <w:uiPriority w:val="99"/>
    <w:semiHidden/>
    <w:unhideWhenUsed/>
    <w:rsid w:val="00DD5F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B624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">
    <w:name w:val="p"/>
    <w:basedOn w:val="Normal"/>
    <w:rsid w:val="000B6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7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4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8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7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5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50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4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7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12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4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1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71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7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42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53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3659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58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55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1332">
          <w:marLeft w:val="-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ADA"/>
            <w:right w:val="none" w:sz="0" w:space="0" w:color="auto"/>
          </w:divBdr>
        </w:div>
        <w:div w:id="1030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BFBFBF"/>
            <w:right w:val="none" w:sz="0" w:space="0" w:color="auto"/>
          </w:divBdr>
        </w:div>
        <w:div w:id="14535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BFBFBF"/>
            <w:right w:val="none" w:sz="0" w:space="0" w:color="auto"/>
          </w:divBdr>
        </w:div>
      </w:divsChild>
    </w:div>
    <w:div w:id="10087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5317">
          <w:marLeft w:val="-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ADA"/>
            <w:right w:val="none" w:sz="0" w:space="0" w:color="auto"/>
          </w:divBdr>
        </w:div>
        <w:div w:id="4720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BFBFBF"/>
            <w:right w:val="none" w:sz="0" w:space="0" w:color="auto"/>
          </w:divBdr>
        </w:div>
        <w:div w:id="13903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BFBFBF"/>
            <w:right w:val="none" w:sz="0" w:space="0" w:color="auto"/>
          </w:divBdr>
        </w:div>
      </w:divsChild>
    </w:div>
    <w:div w:id="1206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0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6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1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63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40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43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664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332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529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955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710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63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7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2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32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7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9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2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y%20files\Med-Ref\Base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Basem.dotm</Template>
  <TotalTime>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basem kayali</dc:creator>
  <cp:keywords/>
  <dc:description/>
  <cp:lastModifiedBy>basem kayali</cp:lastModifiedBy>
  <cp:revision>2</cp:revision>
  <cp:lastPrinted>2021-09-28T12:03:00Z</cp:lastPrinted>
  <dcterms:created xsi:type="dcterms:W3CDTF">2024-10-19T01:54:00Z</dcterms:created>
  <dcterms:modified xsi:type="dcterms:W3CDTF">2024-10-19T01:54:00Z</dcterms:modified>
</cp:coreProperties>
</file>